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2757"/>
        <w:gridCol w:w="3121"/>
      </w:tblGrid>
      <w:tr w:rsidR="001E4E53" w:rsidRPr="00391323" w:rsidTr="001E4E53">
        <w:trPr>
          <w:trHeight w:val="1097"/>
        </w:trPr>
        <w:tc>
          <w:tcPr>
            <w:tcW w:w="8544" w:type="dxa"/>
            <w:gridSpan w:val="3"/>
            <w:shd w:val="solid" w:color="C0C0C0" w:fill="auto"/>
            <w:vAlign w:val="center"/>
          </w:tcPr>
          <w:p w:rsidR="001E4E53" w:rsidRPr="00391323" w:rsidRDefault="001E4E53" w:rsidP="00EA1187">
            <w:pPr>
              <w:pStyle w:val="Textocomentario"/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391323">
              <w:rPr>
                <w:rFonts w:ascii="ArialNarrow-Bold" w:hAnsi="ArialNarrow-Bold" w:cs="ArialNarrow-Bold"/>
                <w:b/>
                <w:bCs/>
                <w:lang w:val="es-ES" w:eastAsia="es-ES"/>
              </w:rPr>
              <w:t xml:space="preserve">Procedimientos Administrativos que han sido radicados en la Contraloría Interna en términos de la Ley Federal de Responsabilidades de los Servidores Públicos al </w:t>
            </w:r>
            <w:r w:rsidR="00EA1187">
              <w:rPr>
                <w:rFonts w:ascii="ArialNarrow-Bold" w:hAnsi="ArialNarrow-Bold" w:cs="ArialNarrow-Bold"/>
                <w:b/>
                <w:bCs/>
                <w:lang w:val="es-ES" w:eastAsia="es-ES"/>
              </w:rPr>
              <w:t>Primer</w:t>
            </w:r>
            <w:r w:rsidR="000437FD">
              <w:rPr>
                <w:rFonts w:ascii="ArialNarrow-Bold" w:hAnsi="ArialNarrow-Bold" w:cs="ArialNarrow-Bold"/>
                <w:b/>
                <w:bCs/>
                <w:lang w:val="es-ES" w:eastAsia="es-ES"/>
              </w:rPr>
              <w:t xml:space="preserve"> </w:t>
            </w:r>
            <w:r>
              <w:rPr>
                <w:rFonts w:ascii="ArialNarrow-Bold" w:hAnsi="ArialNarrow-Bold" w:cs="ArialNarrow-Bold"/>
                <w:b/>
                <w:bCs/>
                <w:lang w:val="es-ES" w:eastAsia="es-ES"/>
              </w:rPr>
              <w:t>Trimest</w:t>
            </w:r>
            <w:r w:rsidRPr="00391323">
              <w:rPr>
                <w:rFonts w:ascii="ArialNarrow-Bold" w:hAnsi="ArialNarrow-Bold" w:cs="ArialNarrow-Bold"/>
                <w:b/>
                <w:bCs/>
                <w:lang w:val="es-ES" w:eastAsia="es-ES"/>
              </w:rPr>
              <w:t>re de 201</w:t>
            </w:r>
            <w:r w:rsidR="00EA1187">
              <w:rPr>
                <w:rFonts w:ascii="ArialNarrow-Bold" w:hAnsi="ArialNarrow-Bold" w:cs="ArialNarrow-Bold"/>
                <w:b/>
                <w:bCs/>
                <w:lang w:val="es-ES" w:eastAsia="es-ES"/>
              </w:rPr>
              <w:t>6</w:t>
            </w:r>
            <w:r>
              <w:rPr>
                <w:rFonts w:ascii="ArialNarrow-Bold" w:hAnsi="ArialNarrow-Bold" w:cs="ArialNarrow-Bold"/>
                <w:b/>
                <w:bCs/>
                <w:lang w:val="es-ES" w:eastAsia="es-ES"/>
              </w:rPr>
              <w:t xml:space="preserve"> </w:t>
            </w:r>
            <w:r w:rsidRPr="00391323">
              <w:rPr>
                <w:rFonts w:ascii="ArialNarrow-Bold" w:hAnsi="ArialNarrow-Bold" w:cs="ArialNarrow-Bold"/>
                <w:b/>
                <w:bCs/>
                <w:lang w:val="es-ES" w:eastAsia="es-ES"/>
              </w:rPr>
              <w:t>de conformidad con el artículo 37 fracción IX de la Ley de Transparencia y Acceso a la Información Pública del Distrito Federal.</w:t>
            </w:r>
          </w:p>
        </w:tc>
      </w:tr>
      <w:tr w:rsidR="001E4E53" w:rsidRPr="00391323" w:rsidTr="001E4E53">
        <w:trPr>
          <w:trHeight w:val="532"/>
        </w:trPr>
        <w:tc>
          <w:tcPr>
            <w:tcW w:w="2666" w:type="dxa"/>
            <w:shd w:val="solid" w:color="C0C0C0" w:fill="auto"/>
            <w:vAlign w:val="center"/>
          </w:tcPr>
          <w:p w:rsidR="001E4E53" w:rsidRPr="00391323" w:rsidRDefault="001E4E53" w:rsidP="00876D7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1323">
              <w:rPr>
                <w:rFonts w:ascii="Arial Narrow" w:hAnsi="Arial Narrow" w:cs="Arial"/>
                <w:b/>
                <w:bCs/>
                <w:sz w:val="22"/>
                <w:szCs w:val="22"/>
              </w:rPr>
              <w:t>Expediente</w:t>
            </w:r>
          </w:p>
        </w:tc>
        <w:tc>
          <w:tcPr>
            <w:tcW w:w="2757" w:type="dxa"/>
            <w:shd w:val="solid" w:color="C0C0C0" w:fill="auto"/>
            <w:vAlign w:val="center"/>
          </w:tcPr>
          <w:p w:rsidR="001E4E53" w:rsidRPr="00391323" w:rsidRDefault="001E4E53" w:rsidP="00876D7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1323">
              <w:rPr>
                <w:rFonts w:ascii="Arial Narrow" w:hAnsi="Arial Narrow" w:cs="Arial"/>
                <w:b/>
                <w:bCs/>
                <w:sz w:val="22"/>
                <w:szCs w:val="22"/>
              </w:rPr>
              <w:t>Fecha de conclusión</w:t>
            </w:r>
          </w:p>
        </w:tc>
        <w:tc>
          <w:tcPr>
            <w:tcW w:w="3121" w:type="dxa"/>
            <w:shd w:val="solid" w:color="C0C0C0" w:fill="auto"/>
            <w:vAlign w:val="center"/>
          </w:tcPr>
          <w:p w:rsidR="001E4E53" w:rsidRPr="00391323" w:rsidRDefault="001E4E53" w:rsidP="00876D7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1323">
              <w:rPr>
                <w:rFonts w:ascii="Arial Narrow" w:hAnsi="Arial Narrow" w:cs="Arial"/>
                <w:b/>
                <w:bCs/>
                <w:sz w:val="22"/>
                <w:szCs w:val="22"/>
              </w:rPr>
              <w:t>Resolución</w:t>
            </w:r>
          </w:p>
        </w:tc>
      </w:tr>
      <w:tr w:rsidR="001E4E53" w:rsidRPr="00391323" w:rsidTr="001E4E53">
        <w:tc>
          <w:tcPr>
            <w:tcW w:w="8544" w:type="dxa"/>
            <w:gridSpan w:val="3"/>
            <w:shd w:val="clear" w:color="auto" w:fill="auto"/>
            <w:vAlign w:val="center"/>
          </w:tcPr>
          <w:p w:rsidR="001E4E53" w:rsidRPr="00391323" w:rsidRDefault="004B519D" w:rsidP="001E4E53">
            <w:pPr>
              <w:pStyle w:val="Textocomentari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2016</w:t>
            </w:r>
          </w:p>
        </w:tc>
      </w:tr>
      <w:tr w:rsidR="00EA1187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87" w:rsidRPr="00065037" w:rsidRDefault="00EA1187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RES-01/16-I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87" w:rsidRPr="009B426F" w:rsidRDefault="00EA1187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187" w:rsidRPr="00065037" w:rsidRDefault="00EA1187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EA1187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87" w:rsidRPr="00065037" w:rsidRDefault="00EA1187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RES-02/16-I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87" w:rsidRPr="009B426F" w:rsidRDefault="00EA1187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187" w:rsidRPr="00065037" w:rsidRDefault="00EA1187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EA1187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87" w:rsidRPr="00065037" w:rsidRDefault="00EA1187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RES-03/16-I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87" w:rsidRPr="009B426F" w:rsidRDefault="004B519D" w:rsidP="004B519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27-jun-16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187" w:rsidRPr="00065037" w:rsidRDefault="004B519D" w:rsidP="004B51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1E4E53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53" w:rsidRPr="00065037" w:rsidRDefault="001E4E53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RES-04/1</w:t>
            </w:r>
            <w:r w:rsidR="00EA118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53" w:rsidRPr="009B426F" w:rsidRDefault="001E4E53" w:rsidP="001E4E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53" w:rsidRPr="00065037" w:rsidRDefault="001E4E53" w:rsidP="001E4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EA1187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87" w:rsidRPr="00065037" w:rsidRDefault="00EA1187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RES-05/16-I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87" w:rsidRPr="009B426F" w:rsidRDefault="00EA1187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187" w:rsidRPr="00065037" w:rsidRDefault="00EA1187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EA1187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87" w:rsidRPr="00065037" w:rsidRDefault="00EA1187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RES-06/16-I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87" w:rsidRPr="009B426F" w:rsidRDefault="00EA1187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187" w:rsidRPr="00065037" w:rsidRDefault="00EA1187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EA1187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87" w:rsidRPr="00065037" w:rsidRDefault="00EA1187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RES-07/16-I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87" w:rsidRPr="009B426F" w:rsidRDefault="00CF1053" w:rsidP="00CF105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05-abr-16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187" w:rsidRPr="00065037" w:rsidRDefault="00CF1053" w:rsidP="00CF1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RATIFICÓ</w:t>
            </w:r>
          </w:p>
        </w:tc>
      </w:tr>
      <w:tr w:rsidR="00EA1187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87" w:rsidRPr="00065037" w:rsidRDefault="00EA1187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RES-08/16-I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87" w:rsidRPr="009B426F" w:rsidRDefault="00EA1187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187" w:rsidRPr="00065037" w:rsidRDefault="00EA1187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EA1187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87" w:rsidRPr="00065037" w:rsidRDefault="00EA1187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RES-09/16-I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87" w:rsidRPr="009B426F" w:rsidRDefault="00417814" w:rsidP="0041781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10-jun-16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187" w:rsidRPr="00065037" w:rsidRDefault="00417814" w:rsidP="004178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INCOAR</w:t>
            </w:r>
          </w:p>
        </w:tc>
      </w:tr>
      <w:tr w:rsidR="00EA1187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87" w:rsidRPr="00065037" w:rsidRDefault="00EA1187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RES-10/16-I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87" w:rsidRPr="009B426F" w:rsidRDefault="00EA1187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187" w:rsidRPr="00065037" w:rsidRDefault="00EA1187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PENDIENTE</w:t>
            </w:r>
          </w:p>
        </w:tc>
      </w:tr>
      <w:tr w:rsidR="0031564E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4E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RES-11/16-I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4E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64E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31564E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4E" w:rsidRDefault="00577BBD" w:rsidP="00577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RES-12/16-I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4E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64E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31564E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4E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RES-13/16-I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4E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64E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31564E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4E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RES-14/16-I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4E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64E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31564E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4E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RES-15/16-I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4E" w:rsidRPr="009B426F" w:rsidRDefault="003B384A" w:rsidP="003B384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20-jun-16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64E" w:rsidRDefault="003B384A" w:rsidP="003B38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IMPROCEDENCIA</w:t>
            </w:r>
          </w:p>
        </w:tc>
      </w:tr>
      <w:tr w:rsidR="0031564E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4E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RES-16/16-I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4E" w:rsidRPr="009B426F" w:rsidRDefault="005E4683" w:rsidP="005E46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20-may-16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64E" w:rsidRDefault="005E4683" w:rsidP="005E46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RATIFICÓ</w:t>
            </w:r>
          </w:p>
        </w:tc>
      </w:tr>
      <w:tr w:rsidR="0031564E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4E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RES-17/16-I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4E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64E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31564E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4E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RES-18/16-I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4E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64E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31564E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4E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RES-19/16-I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4E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64E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577BB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BD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RES-20/16-I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BD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BD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577BB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BD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RES-21/16-I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BD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BD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577BB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BD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RES-22/16-I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BD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BD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577BB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BD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RES-23/16-I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BD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BD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577BB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BD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RES-24/16-I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BD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BD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577BB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BD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RES-25/16-I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BD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BD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577BB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BD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RES-26/16-I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BD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BD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577BB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BD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RES-27/16-I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BD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BD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577BB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BD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RES-28/16-I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BD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BD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577BB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BD" w:rsidRDefault="00577BBD" w:rsidP="00EA11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RES-29/16-I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BD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BD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577BBD" w:rsidRPr="00065037" w:rsidTr="001E4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BBD" w:rsidRDefault="00577BBD" w:rsidP="00577B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RES-30/16-I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BD" w:rsidRPr="009B426F" w:rsidRDefault="00814806" w:rsidP="00EA11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BBD" w:rsidRDefault="00814806" w:rsidP="00EA11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26F"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</w:tbl>
    <w:p w:rsidR="00462AFC" w:rsidRDefault="00462AFC" w:rsidP="001E4E5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</w:p>
    <w:p w:rsidR="001E4E53" w:rsidRDefault="001E4E53" w:rsidP="001E4E5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  <w:r w:rsidRPr="00264157"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  <w:t>Los expedientes se encuentran en archivos físicos resguardados en la Subdirección de Responsabilidades y Situación Patrimonial adscrita a la Contraloría Interna.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135"/>
        <w:gridCol w:w="992"/>
        <w:gridCol w:w="1134"/>
        <w:gridCol w:w="992"/>
        <w:gridCol w:w="1134"/>
        <w:gridCol w:w="1134"/>
        <w:gridCol w:w="1276"/>
        <w:gridCol w:w="709"/>
        <w:gridCol w:w="6"/>
        <w:gridCol w:w="986"/>
        <w:gridCol w:w="567"/>
      </w:tblGrid>
      <w:tr w:rsidR="001E4E53" w:rsidRPr="009517A8" w:rsidTr="00876D78">
        <w:tc>
          <w:tcPr>
            <w:tcW w:w="10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4E53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462AFC" w:rsidRDefault="00462AFC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E4E53" w:rsidRDefault="001E4E53" w:rsidP="00462AFC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1E4E53" w:rsidRPr="00462AFC" w:rsidRDefault="001E4E53" w:rsidP="00876D78">
            <w:pPr>
              <w:jc w:val="center"/>
              <w:rPr>
                <w:rFonts w:ascii="Calibri" w:eastAsia="Calibri" w:hAnsi="Calibri"/>
                <w:b/>
              </w:rPr>
            </w:pPr>
            <w:r w:rsidRPr="00462AFC">
              <w:rPr>
                <w:rFonts w:ascii="Calibri" w:eastAsia="Calibri" w:hAnsi="Calibri"/>
                <w:b/>
              </w:rPr>
              <w:t>Registro de Servidores Públicos Sancionados</w:t>
            </w:r>
          </w:p>
          <w:p w:rsidR="001E4E53" w:rsidRPr="00462AFC" w:rsidRDefault="001E4E53" w:rsidP="00876D78">
            <w:pPr>
              <w:jc w:val="center"/>
              <w:rPr>
                <w:rFonts w:ascii="Calibri" w:eastAsia="Calibri" w:hAnsi="Calibri"/>
                <w:b/>
              </w:rPr>
            </w:pPr>
          </w:p>
          <w:p w:rsidR="001E4E53" w:rsidRPr="00462AFC" w:rsidRDefault="001E4E53" w:rsidP="00876D78">
            <w:pPr>
              <w:jc w:val="center"/>
              <w:rPr>
                <w:rFonts w:ascii="Calibri" w:eastAsia="Calibri" w:hAnsi="Calibri"/>
                <w:b/>
              </w:rPr>
            </w:pPr>
            <w:r w:rsidRPr="00462AFC">
              <w:rPr>
                <w:rFonts w:ascii="Calibri" w:eastAsia="Calibri" w:hAnsi="Calibri"/>
                <w:b/>
              </w:rPr>
              <w:t xml:space="preserve"> Sanciones que quedaron firmes en el ejercicio fiscal 201</w:t>
            </w:r>
            <w:r w:rsidR="00EA1187">
              <w:rPr>
                <w:rFonts w:ascii="Calibri" w:eastAsia="Calibri" w:hAnsi="Calibri"/>
                <w:b/>
              </w:rPr>
              <w:t>6</w:t>
            </w:r>
          </w:p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1E4E53" w:rsidRPr="009517A8" w:rsidTr="00876D78">
        <w:trPr>
          <w:gridBefore w:val="1"/>
          <w:wBefore w:w="142" w:type="dxa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lastRenderedPageBreak/>
              <w:t>Servidor</w:t>
            </w:r>
            <w:r>
              <w:rPr>
                <w:rFonts w:ascii="Calibri" w:eastAsia="Calibri" w:hAnsi="Calibri"/>
                <w:sz w:val="16"/>
                <w:szCs w:val="16"/>
              </w:rPr>
              <w:t>(a)</w:t>
            </w:r>
            <w:r w:rsidRPr="009517A8">
              <w:rPr>
                <w:rFonts w:ascii="Calibri" w:eastAsia="Calibri" w:hAnsi="Calibri"/>
                <w:sz w:val="16"/>
                <w:szCs w:val="16"/>
              </w:rPr>
              <w:t xml:space="preserve"> Público</w:t>
            </w:r>
            <w:r>
              <w:rPr>
                <w:rFonts w:ascii="Calibri" w:eastAsia="Calibri" w:hAnsi="Calibri"/>
                <w:sz w:val="16"/>
                <w:szCs w:val="16"/>
              </w:rPr>
              <w:t>(a)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Órgano o Área de Apoyo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Sanción Impuesta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Expediente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Fecha de Resolución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Fecha de Imposición de la Sanción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Causa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Monto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Inicio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E4E53" w:rsidRPr="009517A8" w:rsidRDefault="001E4E53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>Fin</w:t>
            </w:r>
          </w:p>
        </w:tc>
      </w:tr>
      <w:tr w:rsidR="001E4E53" w:rsidRPr="009517A8" w:rsidTr="00876D78">
        <w:trPr>
          <w:gridBefore w:val="1"/>
          <w:wBefore w:w="142" w:type="dxa"/>
        </w:trPr>
        <w:tc>
          <w:tcPr>
            <w:tcW w:w="1135" w:type="dxa"/>
            <w:shd w:val="clear" w:color="auto" w:fill="auto"/>
          </w:tcPr>
          <w:p w:rsidR="001E4E53" w:rsidRPr="009517A8" w:rsidRDefault="0019653B" w:rsidP="00876D78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JUAN </w:t>
            </w:r>
            <w:r w:rsidR="00EA1187">
              <w:rPr>
                <w:rFonts w:ascii="Calibri" w:eastAsia="Calibri" w:hAnsi="Calibri"/>
                <w:sz w:val="16"/>
                <w:szCs w:val="16"/>
              </w:rPr>
              <w:t>ALEJANDRO ELIZALDE MACÍAS</w:t>
            </w:r>
            <w:r w:rsidR="002D2CEB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E4E53" w:rsidRPr="009517A8" w:rsidRDefault="00534175" w:rsidP="00EA1187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Dir. Gral. De </w:t>
            </w:r>
            <w:r w:rsidR="00EA1187">
              <w:rPr>
                <w:rFonts w:ascii="Calibri" w:eastAsia="Calibri" w:hAnsi="Calibri"/>
                <w:sz w:val="16"/>
                <w:szCs w:val="16"/>
              </w:rPr>
              <w:t>Quejas y Orientación</w:t>
            </w:r>
          </w:p>
        </w:tc>
        <w:tc>
          <w:tcPr>
            <w:tcW w:w="1134" w:type="dxa"/>
            <w:shd w:val="clear" w:color="auto" w:fill="auto"/>
          </w:tcPr>
          <w:p w:rsidR="001E4E53" w:rsidRPr="009517A8" w:rsidRDefault="002D2CEB" w:rsidP="00876D78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Inhabilitación temporal 1 año</w:t>
            </w:r>
          </w:p>
        </w:tc>
        <w:tc>
          <w:tcPr>
            <w:tcW w:w="992" w:type="dxa"/>
            <w:shd w:val="clear" w:color="auto" w:fill="auto"/>
          </w:tcPr>
          <w:p w:rsidR="001E4E53" w:rsidRPr="009517A8" w:rsidRDefault="002D2CEB" w:rsidP="00EA1187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IDP-0</w:t>
            </w:r>
            <w:r w:rsidR="00EA1187">
              <w:rPr>
                <w:rFonts w:ascii="Calibri" w:eastAsia="Calibri" w:hAnsi="Calibri"/>
                <w:sz w:val="16"/>
                <w:szCs w:val="16"/>
              </w:rPr>
              <w:t>2</w:t>
            </w:r>
            <w:r>
              <w:rPr>
                <w:rFonts w:ascii="Calibri" w:eastAsia="Calibri" w:hAnsi="Calibri"/>
                <w:sz w:val="16"/>
                <w:szCs w:val="16"/>
              </w:rPr>
              <w:t>/1</w:t>
            </w:r>
            <w:r w:rsidR="003F6420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E4E53" w:rsidRPr="009517A8" w:rsidRDefault="002D2CEB" w:rsidP="00706802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706802">
              <w:rPr>
                <w:rFonts w:ascii="Calibri" w:eastAsia="Calibri" w:hAnsi="Calibri"/>
                <w:sz w:val="16"/>
                <w:szCs w:val="16"/>
              </w:rPr>
              <w:t>6-</w:t>
            </w:r>
            <w:r>
              <w:rPr>
                <w:rFonts w:ascii="Calibri" w:eastAsia="Calibri" w:hAnsi="Calibri"/>
                <w:sz w:val="16"/>
                <w:szCs w:val="16"/>
              </w:rPr>
              <w:t>o</w:t>
            </w:r>
            <w:r w:rsidR="00706802">
              <w:rPr>
                <w:rFonts w:ascii="Calibri" w:eastAsia="Calibri" w:hAnsi="Calibri"/>
                <w:sz w:val="16"/>
                <w:szCs w:val="16"/>
              </w:rPr>
              <w:t>ct</w:t>
            </w:r>
            <w:r>
              <w:rPr>
                <w:rFonts w:ascii="Calibri" w:eastAsia="Calibri" w:hAnsi="Calibri"/>
                <w:sz w:val="16"/>
                <w:szCs w:val="16"/>
              </w:rPr>
              <w:t>-15</w:t>
            </w:r>
          </w:p>
        </w:tc>
        <w:tc>
          <w:tcPr>
            <w:tcW w:w="1134" w:type="dxa"/>
            <w:shd w:val="clear" w:color="auto" w:fill="auto"/>
          </w:tcPr>
          <w:p w:rsidR="001E4E53" w:rsidRPr="009517A8" w:rsidRDefault="00706802" w:rsidP="00706802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30</w:t>
            </w:r>
            <w:r w:rsidR="00534175">
              <w:rPr>
                <w:rFonts w:ascii="Calibri" w:eastAsia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/>
                <w:sz w:val="16"/>
                <w:szCs w:val="16"/>
              </w:rPr>
              <w:t>oct</w:t>
            </w:r>
            <w:r w:rsidR="00534175">
              <w:rPr>
                <w:rFonts w:ascii="Calibri" w:eastAsia="Calibri" w:hAnsi="Calibri"/>
                <w:sz w:val="16"/>
                <w:szCs w:val="16"/>
              </w:rPr>
              <w:t>-15</w:t>
            </w:r>
          </w:p>
        </w:tc>
        <w:tc>
          <w:tcPr>
            <w:tcW w:w="1276" w:type="dxa"/>
            <w:shd w:val="clear" w:color="auto" w:fill="auto"/>
          </w:tcPr>
          <w:p w:rsidR="001E4E53" w:rsidRPr="00534175" w:rsidRDefault="00534175" w:rsidP="00876D78">
            <w:pPr>
              <w:rPr>
                <w:rFonts w:ascii="Calibri" w:eastAsia="Calibri" w:hAnsi="Calibri"/>
                <w:sz w:val="14"/>
                <w:szCs w:val="14"/>
              </w:rPr>
            </w:pPr>
            <w:r w:rsidRPr="00534175">
              <w:rPr>
                <w:rFonts w:ascii="Calibri" w:eastAsia="Calibri" w:hAnsi="Calibri"/>
                <w:sz w:val="14"/>
                <w:szCs w:val="14"/>
              </w:rPr>
              <w:t>Omitir presentar Declaración de Situación Patrimonial de Conclusión</w:t>
            </w:r>
          </w:p>
        </w:tc>
        <w:tc>
          <w:tcPr>
            <w:tcW w:w="709" w:type="dxa"/>
            <w:shd w:val="clear" w:color="auto" w:fill="auto"/>
          </w:tcPr>
          <w:p w:rsidR="001E4E53" w:rsidRPr="009517A8" w:rsidRDefault="00534175" w:rsidP="00876D78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E4E53" w:rsidRPr="009517A8" w:rsidRDefault="00706802" w:rsidP="00706802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30</w:t>
            </w:r>
            <w:r w:rsidR="00534175">
              <w:rPr>
                <w:rFonts w:ascii="Calibri" w:eastAsia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/>
                <w:sz w:val="16"/>
                <w:szCs w:val="16"/>
              </w:rPr>
              <w:t>oct</w:t>
            </w:r>
            <w:r w:rsidR="00534175">
              <w:rPr>
                <w:rFonts w:ascii="Calibri" w:eastAsia="Calibri" w:hAnsi="Calibri"/>
                <w:sz w:val="16"/>
                <w:szCs w:val="16"/>
              </w:rPr>
              <w:t>-15</w:t>
            </w:r>
          </w:p>
        </w:tc>
        <w:tc>
          <w:tcPr>
            <w:tcW w:w="567" w:type="dxa"/>
            <w:shd w:val="clear" w:color="auto" w:fill="auto"/>
          </w:tcPr>
          <w:p w:rsidR="001E4E53" w:rsidRPr="009517A8" w:rsidRDefault="00706802" w:rsidP="00706802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30</w:t>
            </w:r>
            <w:r w:rsidR="00534175">
              <w:rPr>
                <w:rFonts w:ascii="Calibri" w:eastAsia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/>
                <w:sz w:val="16"/>
                <w:szCs w:val="16"/>
              </w:rPr>
              <w:t>oct</w:t>
            </w:r>
            <w:r w:rsidR="00534175">
              <w:rPr>
                <w:rFonts w:ascii="Calibri" w:eastAsia="Calibri" w:hAnsi="Calibri"/>
                <w:sz w:val="16"/>
                <w:szCs w:val="16"/>
              </w:rPr>
              <w:t>-16</w:t>
            </w:r>
          </w:p>
        </w:tc>
      </w:tr>
      <w:tr w:rsidR="001E4E53" w:rsidRPr="009517A8" w:rsidTr="00876D78">
        <w:trPr>
          <w:gridBefore w:val="1"/>
          <w:wBefore w:w="142" w:type="dxa"/>
        </w:trPr>
        <w:tc>
          <w:tcPr>
            <w:tcW w:w="1135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E4E53" w:rsidRPr="009517A8" w:rsidRDefault="001E4E53" w:rsidP="00876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E4E53" w:rsidRPr="009517A8" w:rsidRDefault="001E4E53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:rsidR="001E4E53" w:rsidRDefault="001E4E53" w:rsidP="001E4E5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18"/>
          <w:szCs w:val="18"/>
          <w:lang w:val="es-ES" w:eastAsia="es-ES"/>
        </w:rPr>
      </w:pPr>
    </w:p>
    <w:p w:rsidR="001E4E53" w:rsidRPr="006E4DF8" w:rsidRDefault="001E4E53" w:rsidP="001E4E5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18"/>
          <w:szCs w:val="18"/>
          <w:lang w:val="es-ES" w:eastAsia="es-ES"/>
        </w:rPr>
      </w:pPr>
      <w:r w:rsidRPr="006E4DF8">
        <w:rPr>
          <w:rFonts w:ascii="Arial Narrow" w:hAnsi="Arial Narrow" w:cs="ArialNarrow-Bold"/>
          <w:b/>
          <w:bCs/>
          <w:sz w:val="18"/>
          <w:szCs w:val="18"/>
          <w:lang w:val="es-ES" w:eastAsia="es-ES"/>
        </w:rPr>
        <w:t>* Esta información sólo incluye sanciones que han causado estado, consistentes en Apercibimiento Público, Amonestación Pública, Suspensión, Destitución e Inhabilitación.</w:t>
      </w:r>
    </w:p>
    <w:p w:rsidR="000F4C40" w:rsidRDefault="000F4C40"/>
    <w:sectPr w:rsidR="000F4C40" w:rsidSect="00BE6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985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C0" w:rsidRDefault="006E2DC0" w:rsidP="001E4E53">
      <w:r>
        <w:separator/>
      </w:r>
    </w:p>
  </w:endnote>
  <w:endnote w:type="continuationSeparator" w:id="0">
    <w:p w:rsidR="006E2DC0" w:rsidRDefault="006E2DC0" w:rsidP="001E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2B" w:rsidRDefault="005E1C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D0" w:rsidRPr="00E05095" w:rsidRDefault="004D3C75" w:rsidP="00552DD0">
    <w:pPr>
      <w:jc w:val="center"/>
      <w:rPr>
        <w:rFonts w:ascii="Arial Narrow" w:hAnsi="Arial Narrow" w:cs="Arial"/>
      </w:rPr>
    </w:pPr>
    <w:r w:rsidRPr="00E05095">
      <w:rPr>
        <w:rFonts w:ascii="Arial Narrow" w:hAnsi="Arial Narrow" w:cs="Arial"/>
      </w:rPr>
      <w:t xml:space="preserve">Área responsable: </w:t>
    </w:r>
    <w:r>
      <w:rPr>
        <w:rFonts w:ascii="Arial Narrow" w:hAnsi="Arial Narrow" w:cs="Arial"/>
        <w:b/>
      </w:rPr>
      <w:t>Contraloría Interna</w:t>
    </w:r>
    <w:r w:rsidRPr="00E05095">
      <w:rPr>
        <w:rFonts w:ascii="Arial Narrow" w:hAnsi="Arial Narrow" w:cs="Arial"/>
      </w:rPr>
      <w:t xml:space="preserve">, Fecha de actualización: </w:t>
    </w:r>
    <w:r>
      <w:rPr>
        <w:rFonts w:ascii="Arial Narrow" w:hAnsi="Arial Narrow" w:cs="Arial"/>
        <w:b/>
      </w:rPr>
      <w:t>3</w:t>
    </w:r>
    <w:r w:rsidR="0091458F">
      <w:rPr>
        <w:rFonts w:ascii="Arial Narrow" w:hAnsi="Arial Narrow" w:cs="Arial"/>
        <w:b/>
      </w:rPr>
      <w:t>0</w:t>
    </w:r>
    <w:r>
      <w:rPr>
        <w:rFonts w:ascii="Arial Narrow" w:hAnsi="Arial Narrow" w:cs="Arial"/>
        <w:b/>
      </w:rPr>
      <w:t xml:space="preserve"> de </w:t>
    </w:r>
    <w:r w:rsidR="0091458F">
      <w:rPr>
        <w:rFonts w:ascii="Arial Narrow" w:hAnsi="Arial Narrow" w:cs="Arial"/>
        <w:b/>
      </w:rPr>
      <w:t>junio</w:t>
    </w:r>
    <w:r>
      <w:rPr>
        <w:rFonts w:ascii="Arial Narrow" w:hAnsi="Arial Narrow" w:cs="Arial"/>
        <w:b/>
      </w:rPr>
      <w:t xml:space="preserve"> de 201</w:t>
    </w:r>
    <w:r w:rsidR="000300C5">
      <w:rPr>
        <w:rFonts w:ascii="Arial Narrow" w:hAnsi="Arial Narrow" w:cs="Arial"/>
        <w:b/>
      </w:rPr>
      <w:t>6</w:t>
    </w:r>
    <w:r w:rsidRPr="00E05095">
      <w:rPr>
        <w:rFonts w:ascii="Arial Narrow" w:hAnsi="Arial Narrow" w:cs="Arial"/>
      </w:rPr>
      <w:t>,</w:t>
    </w:r>
  </w:p>
  <w:p w:rsidR="00552DD0" w:rsidRDefault="004D3C75" w:rsidP="00552DD0">
    <w:pPr>
      <w:tabs>
        <w:tab w:val="center" w:pos="4278"/>
        <w:tab w:val="left" w:pos="7725"/>
      </w:tabs>
      <w:rPr>
        <w:rFonts w:ascii="Arial Narrow" w:hAnsi="Arial Narrow" w:cs="Arial"/>
        <w:b/>
      </w:rPr>
    </w:pPr>
    <w:r>
      <w:rPr>
        <w:rFonts w:ascii="Arial Narrow" w:hAnsi="Arial Narrow" w:cs="Arial"/>
      </w:rPr>
      <w:tab/>
    </w:r>
    <w:r w:rsidRPr="00E05095">
      <w:rPr>
        <w:rFonts w:ascii="Arial Narrow" w:hAnsi="Arial Narrow" w:cs="Arial"/>
      </w:rPr>
      <w:t xml:space="preserve">Fecha de validación: </w:t>
    </w:r>
    <w:r w:rsidR="0091458F">
      <w:rPr>
        <w:rFonts w:ascii="Arial Narrow" w:hAnsi="Arial Narrow" w:cs="Arial"/>
        <w:b/>
      </w:rPr>
      <w:t>1</w:t>
    </w:r>
    <w:r w:rsidR="005E1C2B">
      <w:rPr>
        <w:rFonts w:ascii="Arial Narrow" w:hAnsi="Arial Narrow" w:cs="Arial"/>
        <w:b/>
      </w:rPr>
      <w:t>5</w:t>
    </w:r>
    <w:r w:rsidR="000437FD">
      <w:rPr>
        <w:rFonts w:ascii="Arial Narrow" w:hAnsi="Arial Narrow" w:cs="Arial"/>
        <w:b/>
      </w:rPr>
      <w:t xml:space="preserve"> de </w:t>
    </w:r>
    <w:r w:rsidR="0091458F">
      <w:rPr>
        <w:rFonts w:ascii="Arial Narrow" w:hAnsi="Arial Narrow" w:cs="Arial"/>
        <w:b/>
      </w:rPr>
      <w:t>julio</w:t>
    </w:r>
    <w:r>
      <w:rPr>
        <w:rFonts w:ascii="Arial Narrow" w:hAnsi="Arial Narrow" w:cs="Arial"/>
        <w:b/>
      </w:rPr>
      <w:t xml:space="preserve"> </w:t>
    </w:r>
    <w:r w:rsidR="000437FD">
      <w:rPr>
        <w:rFonts w:ascii="Arial Narrow" w:hAnsi="Arial Narrow" w:cs="Arial"/>
        <w:b/>
      </w:rPr>
      <w:t>d</w:t>
    </w:r>
    <w:r>
      <w:rPr>
        <w:rFonts w:ascii="Arial Narrow" w:hAnsi="Arial Narrow" w:cs="Arial"/>
        <w:b/>
      </w:rPr>
      <w:t>e 201</w:t>
    </w:r>
    <w:r w:rsidR="00DA088C">
      <w:rPr>
        <w:rFonts w:ascii="Arial Narrow" w:hAnsi="Arial Narrow" w:cs="Arial"/>
        <w:b/>
      </w:rPr>
      <w:t>6</w:t>
    </w:r>
    <w:r>
      <w:rPr>
        <w:rFonts w:ascii="Arial Narrow" w:hAnsi="Arial Narrow" w:cs="Arial"/>
        <w:b/>
      </w:rPr>
      <w:t>.</w:t>
    </w:r>
  </w:p>
  <w:p w:rsidR="00552DD0" w:rsidRDefault="006E2DC0" w:rsidP="00552DD0">
    <w:pPr>
      <w:tabs>
        <w:tab w:val="center" w:pos="4278"/>
        <w:tab w:val="left" w:pos="7725"/>
      </w:tabs>
      <w:rPr>
        <w:rFonts w:ascii="Arial Narrow" w:hAnsi="Arial Narrow" w:cs="Arial"/>
        <w:b/>
      </w:rPr>
    </w:pPr>
  </w:p>
  <w:p w:rsidR="00552DD0" w:rsidRPr="00AC6CC5" w:rsidRDefault="004D3C75" w:rsidP="00552DD0">
    <w:pPr>
      <w:pStyle w:val="Piedepgina"/>
    </w:pPr>
    <w:proofErr w:type="spellStart"/>
    <w:proofErr w:type="gramStart"/>
    <w:r w:rsidRPr="00AC6CC5">
      <w:rPr>
        <w:rFonts w:ascii="Arial" w:hAnsi="Arial" w:cs="Arial"/>
        <w:b/>
        <w:color w:val="BFBFBF"/>
        <w:sz w:val="18"/>
        <w:szCs w:val="18"/>
      </w:rPr>
      <w:t>misdocumentos</w:t>
    </w:r>
    <w:proofErr w:type="spellEnd"/>
    <w:r w:rsidRPr="00AC6CC5">
      <w:rPr>
        <w:rFonts w:ascii="Arial" w:hAnsi="Arial" w:cs="Arial"/>
        <w:b/>
        <w:color w:val="BFBFBF"/>
        <w:sz w:val="18"/>
        <w:szCs w:val="18"/>
      </w:rPr>
      <w:t>/201</w:t>
    </w:r>
    <w:r w:rsidR="000300C5">
      <w:rPr>
        <w:rFonts w:ascii="Arial" w:hAnsi="Arial" w:cs="Arial"/>
        <w:b/>
        <w:color w:val="BFBFBF"/>
        <w:sz w:val="18"/>
        <w:szCs w:val="18"/>
      </w:rPr>
      <w:t>6</w:t>
    </w:r>
    <w:r w:rsidRPr="00AC6CC5">
      <w:rPr>
        <w:rFonts w:ascii="Arial" w:hAnsi="Arial" w:cs="Arial"/>
        <w:b/>
        <w:color w:val="BFBFBF"/>
        <w:sz w:val="18"/>
        <w:szCs w:val="18"/>
      </w:rPr>
      <w:t>/transparencia</w:t>
    </w:r>
    <w:r>
      <w:rPr>
        <w:rFonts w:ascii="Arial" w:hAnsi="Arial" w:cs="Arial"/>
        <w:b/>
        <w:color w:val="BFBFBF"/>
        <w:sz w:val="18"/>
        <w:szCs w:val="18"/>
      </w:rPr>
      <w:t>/</w:t>
    </w:r>
    <w:r w:rsidR="000300C5">
      <w:rPr>
        <w:rFonts w:ascii="Arial" w:hAnsi="Arial" w:cs="Arial"/>
        <w:b/>
        <w:color w:val="BFBFBF"/>
        <w:sz w:val="18"/>
        <w:szCs w:val="18"/>
      </w:rPr>
      <w:t>primer</w:t>
    </w:r>
    <w:proofErr w:type="gramEnd"/>
    <w:r>
      <w:rPr>
        <w:rFonts w:ascii="Arial" w:hAnsi="Arial" w:cs="Arial"/>
        <w:b/>
        <w:color w:val="BFBFBF"/>
        <w:sz w:val="18"/>
        <w:szCs w:val="18"/>
      </w:rPr>
      <w:t xml:space="preserve"> </w:t>
    </w:r>
    <w:proofErr w:type="spellStart"/>
    <w:r>
      <w:rPr>
        <w:rFonts w:ascii="Arial" w:hAnsi="Arial" w:cs="Arial"/>
        <w:b/>
        <w:color w:val="BFBFBF"/>
        <w:sz w:val="18"/>
        <w:szCs w:val="18"/>
      </w:rPr>
      <w:t>trim</w:t>
    </w:r>
    <w:proofErr w:type="spellEnd"/>
    <w:r w:rsidR="00B92B51">
      <w:rPr>
        <w:rFonts w:ascii="Arial" w:hAnsi="Arial" w:cs="Arial"/>
        <w:b/>
        <w:color w:val="BFBFBF"/>
        <w:sz w:val="18"/>
        <w:szCs w:val="18"/>
      </w:rPr>
      <w:t>/Art. 37- IX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2B" w:rsidRDefault="005E1C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C0" w:rsidRDefault="006E2DC0" w:rsidP="001E4E53">
      <w:r>
        <w:separator/>
      </w:r>
    </w:p>
  </w:footnote>
  <w:footnote w:type="continuationSeparator" w:id="0">
    <w:p w:rsidR="006E2DC0" w:rsidRDefault="006E2DC0" w:rsidP="001E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2B" w:rsidRDefault="005E1C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D0" w:rsidRPr="00A3575E" w:rsidRDefault="001E4E53" w:rsidP="00552DD0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-1336675</wp:posOffset>
          </wp:positionH>
          <wp:positionV relativeFrom="paragraph">
            <wp:posOffset>-525145</wp:posOffset>
          </wp:positionV>
          <wp:extent cx="7812405" cy="12801600"/>
          <wp:effectExtent l="0" t="0" r="0" b="0"/>
          <wp:wrapNone/>
          <wp:docPr id="1" name="Imagen 1" descr="VERTICAL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ERTICAL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128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2DD0" w:rsidRPr="00E104CA" w:rsidRDefault="004D3C75" w:rsidP="00552DD0">
    <w:pPr>
      <w:jc w:val="both"/>
      <w:rPr>
        <w:rFonts w:ascii="Arial Narrow" w:hAnsi="Arial Narrow" w:cs="Arial"/>
        <w:b/>
      </w:rPr>
    </w:pPr>
    <w:r w:rsidRPr="00A3575E">
      <w:rPr>
        <w:rFonts w:ascii="Arial" w:hAnsi="Arial" w:cs="Arial"/>
        <w:b/>
        <w:sz w:val="28"/>
        <w:szCs w:val="28"/>
      </w:rPr>
      <w:tab/>
    </w:r>
  </w:p>
  <w:p w:rsidR="00552DD0" w:rsidRPr="00E104CA" w:rsidRDefault="006E2DC0" w:rsidP="00552DD0">
    <w:pPr>
      <w:jc w:val="both"/>
      <w:rPr>
        <w:rFonts w:ascii="Arial Narrow" w:hAnsi="Arial Narrow" w:cs="Arial"/>
        <w:b/>
      </w:rPr>
    </w:pPr>
  </w:p>
  <w:p w:rsidR="00552DD0" w:rsidRPr="00E104CA" w:rsidRDefault="004D3C75" w:rsidP="00552DD0">
    <w:pPr>
      <w:jc w:val="both"/>
      <w:rPr>
        <w:rFonts w:ascii="Arial Narrow" w:hAnsi="Arial Narrow" w:cs="Arial"/>
      </w:rPr>
    </w:pPr>
    <w:r w:rsidRPr="00E104CA">
      <w:rPr>
        <w:rFonts w:ascii="Arial Narrow" w:hAnsi="Arial Narrow" w:cs="Arial"/>
        <w:b/>
      </w:rPr>
      <w:t xml:space="preserve"> Artículo</w:t>
    </w:r>
    <w:r>
      <w:rPr>
        <w:rFonts w:ascii="Arial Narrow" w:hAnsi="Arial Narrow" w:cs="Arial"/>
        <w:b/>
      </w:rPr>
      <w:t xml:space="preserve"> 37</w:t>
    </w:r>
    <w:r w:rsidRPr="00E104CA">
      <w:rPr>
        <w:rFonts w:ascii="Arial Narrow" w:hAnsi="Arial Narrow" w:cs="Arial"/>
        <w:b/>
      </w:rPr>
      <w:t xml:space="preserve">: </w:t>
    </w:r>
    <w:r w:rsidRPr="00E104CA">
      <w:rPr>
        <w:rFonts w:ascii="Arial Narrow" w:hAnsi="Arial Narrow" w:cs="Arial"/>
      </w:rPr>
      <w:t>Es pública toda la información que obra en los archivos de los entes públicos, con excepción de aquella que de manera expresa y específica se prevé como información reservada en los siguientes casos</w:t>
    </w:r>
    <w:r>
      <w:rPr>
        <w:rFonts w:ascii="Arial Narrow" w:hAnsi="Arial Narrow" w:cs="Arial"/>
      </w:rPr>
      <w:t>:</w:t>
    </w:r>
  </w:p>
  <w:p w:rsidR="00552DD0" w:rsidRPr="00E104CA" w:rsidRDefault="004D3C75" w:rsidP="00552DD0">
    <w:pPr>
      <w:jc w:val="both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Fracción</w:t>
    </w:r>
    <w:r w:rsidRPr="00E104CA">
      <w:rPr>
        <w:rFonts w:ascii="Arial Narrow" w:hAnsi="Arial Narrow" w:cs="Arial"/>
        <w:b/>
      </w:rPr>
      <w:t xml:space="preserve"> </w:t>
    </w:r>
    <w:r w:rsidRPr="00A34FCD">
      <w:rPr>
        <w:rFonts w:ascii="Arial Narrow" w:hAnsi="Arial Narrow" w:cs="Arial"/>
        <w:b/>
      </w:rPr>
      <w:t>IX</w:t>
    </w:r>
    <w:r>
      <w:rPr>
        <w:rFonts w:ascii="Arial Narrow" w:hAnsi="Arial Narrow" w:cs="Arial"/>
        <w:b/>
      </w:rPr>
      <w:t>:</w:t>
    </w:r>
    <w:r w:rsidRPr="00A34FCD">
      <w:rPr>
        <w:rFonts w:ascii="Arial Narrow" w:hAnsi="Arial Narrow" w:cs="Arial"/>
        <w:b/>
      </w:rPr>
      <w:t xml:space="preserve"> </w:t>
    </w:r>
    <w:r w:rsidRPr="00E104CA">
      <w:rPr>
        <w:rFonts w:ascii="Arial Narrow" w:hAnsi="Arial Narrow" w:cs="Arial"/>
      </w:rPr>
      <w:t>Cuando se trate de procedimientos de responsabilidad de los servidores públicos, en tanto no se haya dictado la resolución administrativa definitiva</w:t>
    </w:r>
    <w:r>
      <w:rPr>
        <w:rFonts w:ascii="Arial Narrow" w:hAnsi="Arial Narrow" w:cs="Arial"/>
      </w:rPr>
      <w:t>.</w:t>
    </w:r>
  </w:p>
  <w:p w:rsidR="00552DD0" w:rsidRPr="00E104CA" w:rsidRDefault="004D3C75" w:rsidP="00552DD0">
    <w:pPr>
      <w:jc w:val="both"/>
      <w:rPr>
        <w:rFonts w:ascii="Arial Narrow" w:hAnsi="Arial Narrow" w:cs="Arial"/>
        <w:b/>
      </w:rPr>
    </w:pPr>
    <w:r w:rsidRPr="00E104CA">
      <w:rPr>
        <w:rFonts w:ascii="Arial Narrow" w:hAnsi="Arial Narrow" w:cs="Arial"/>
        <w:b/>
      </w:rPr>
      <w:t xml:space="preserve"> Periodo: </w:t>
    </w:r>
    <w:r w:rsidR="00026390" w:rsidRPr="00026390">
      <w:rPr>
        <w:rFonts w:ascii="Arial Narrow" w:hAnsi="Arial Narrow" w:cs="Arial"/>
      </w:rPr>
      <w:t>Enero</w:t>
    </w:r>
    <w:r>
      <w:rPr>
        <w:rFonts w:ascii="Arial Narrow" w:hAnsi="Arial Narrow" w:cs="Arial"/>
      </w:rPr>
      <w:t xml:space="preserve"> - </w:t>
    </w:r>
    <w:r w:rsidR="0091458F">
      <w:rPr>
        <w:rFonts w:ascii="Arial Narrow" w:hAnsi="Arial Narrow" w:cs="Arial"/>
      </w:rPr>
      <w:t>Junio</w:t>
    </w:r>
    <w:r w:rsidRPr="00E104CA">
      <w:rPr>
        <w:rFonts w:ascii="Arial Narrow" w:hAnsi="Arial Narrow" w:cs="Arial"/>
      </w:rPr>
      <w:t xml:space="preserve"> 201</w:t>
    </w:r>
    <w:r w:rsidR="00EA1187">
      <w:rPr>
        <w:rFonts w:ascii="Arial Narrow" w:hAnsi="Arial Narrow" w:cs="Arial"/>
      </w:rPr>
      <w:t>6</w:t>
    </w:r>
  </w:p>
  <w:p w:rsidR="00552DD0" w:rsidRPr="00E104CA" w:rsidRDefault="006E2DC0" w:rsidP="00552DD0">
    <w:pPr>
      <w:pStyle w:val="Encabezado"/>
      <w:jc w:val="both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2B" w:rsidRDefault="005E1C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53"/>
    <w:rsid w:val="00026390"/>
    <w:rsid w:val="000300C5"/>
    <w:rsid w:val="000437FD"/>
    <w:rsid w:val="00056200"/>
    <w:rsid w:val="0009477B"/>
    <w:rsid w:val="000F4C40"/>
    <w:rsid w:val="001559BC"/>
    <w:rsid w:val="0019653B"/>
    <w:rsid w:val="001E4E53"/>
    <w:rsid w:val="002076BB"/>
    <w:rsid w:val="002B30C6"/>
    <w:rsid w:val="002D2CEB"/>
    <w:rsid w:val="00301747"/>
    <w:rsid w:val="0031564E"/>
    <w:rsid w:val="003B384A"/>
    <w:rsid w:val="003F6420"/>
    <w:rsid w:val="00417814"/>
    <w:rsid w:val="00462AFC"/>
    <w:rsid w:val="004868A9"/>
    <w:rsid w:val="004A508B"/>
    <w:rsid w:val="004B4B8B"/>
    <w:rsid w:val="004B519D"/>
    <w:rsid w:val="004D3C75"/>
    <w:rsid w:val="00534175"/>
    <w:rsid w:val="005609A3"/>
    <w:rsid w:val="00577BBD"/>
    <w:rsid w:val="005E1C2B"/>
    <w:rsid w:val="005E4683"/>
    <w:rsid w:val="00616FF9"/>
    <w:rsid w:val="00654F24"/>
    <w:rsid w:val="006E2DC0"/>
    <w:rsid w:val="00706802"/>
    <w:rsid w:val="007B3B76"/>
    <w:rsid w:val="007C30AC"/>
    <w:rsid w:val="007E0F7D"/>
    <w:rsid w:val="00814806"/>
    <w:rsid w:val="008520B4"/>
    <w:rsid w:val="0091458F"/>
    <w:rsid w:val="009955C8"/>
    <w:rsid w:val="009B426F"/>
    <w:rsid w:val="009D304B"/>
    <w:rsid w:val="009D314D"/>
    <w:rsid w:val="00A542E1"/>
    <w:rsid w:val="00AE00EC"/>
    <w:rsid w:val="00B07199"/>
    <w:rsid w:val="00B736A1"/>
    <w:rsid w:val="00B92B51"/>
    <w:rsid w:val="00B9359C"/>
    <w:rsid w:val="00BE690A"/>
    <w:rsid w:val="00C04D55"/>
    <w:rsid w:val="00C461B8"/>
    <w:rsid w:val="00C56621"/>
    <w:rsid w:val="00CF1053"/>
    <w:rsid w:val="00DA088C"/>
    <w:rsid w:val="00DC594B"/>
    <w:rsid w:val="00E13EE5"/>
    <w:rsid w:val="00E31950"/>
    <w:rsid w:val="00E363E7"/>
    <w:rsid w:val="00E5000D"/>
    <w:rsid w:val="00E7583D"/>
    <w:rsid w:val="00E9714F"/>
    <w:rsid w:val="00EA1187"/>
    <w:rsid w:val="00F558AD"/>
    <w:rsid w:val="00F90C8B"/>
    <w:rsid w:val="00FA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1E4E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E4E53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Encabezado">
    <w:name w:val="header"/>
    <w:basedOn w:val="Normal"/>
    <w:link w:val="EncabezadoCar"/>
    <w:rsid w:val="001E4E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4E5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1E4E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4E5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9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90A"/>
    <w:rPr>
      <w:rFonts w:ascii="Segoe UI" w:eastAsia="Times New Roman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C594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94B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1E4E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E4E53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Encabezado">
    <w:name w:val="header"/>
    <w:basedOn w:val="Normal"/>
    <w:link w:val="EncabezadoCar"/>
    <w:rsid w:val="001E4E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4E5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1E4E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4E5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9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90A"/>
    <w:rPr>
      <w:rFonts w:ascii="Segoe UI" w:eastAsia="Times New Roman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C594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94B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mleona</dc:creator>
  <cp:lastModifiedBy>lgardunom</cp:lastModifiedBy>
  <cp:revision>2</cp:revision>
  <cp:lastPrinted>2016-04-05T15:01:00Z</cp:lastPrinted>
  <dcterms:created xsi:type="dcterms:W3CDTF">2016-07-26T20:41:00Z</dcterms:created>
  <dcterms:modified xsi:type="dcterms:W3CDTF">2016-07-26T20:41:00Z</dcterms:modified>
</cp:coreProperties>
</file>